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4C" w:rsidRPr="003C5D4C" w:rsidRDefault="003C5D4C" w:rsidP="003C5D4C">
      <w:pPr>
        <w:spacing w:after="0" w:line="240" w:lineRule="auto"/>
        <w:jc w:val="center"/>
        <w:rPr>
          <w:rFonts w:ascii="Times New Roman" w:eastAsia="Times New Roman" w:hAnsi="Times New Roman" w:cs="Times New Roman"/>
          <w:b/>
          <w:bCs/>
          <w:sz w:val="28"/>
          <w:szCs w:val="28"/>
          <w:lang w:eastAsia="ru-RU"/>
        </w:rPr>
      </w:pPr>
      <w:r w:rsidRPr="003C5D4C">
        <w:rPr>
          <w:rFonts w:ascii="Times New Roman" w:eastAsia="Times New Roman" w:hAnsi="Times New Roman" w:cs="Times New Roman"/>
          <w:b/>
          <w:bCs/>
          <w:sz w:val="28"/>
          <w:szCs w:val="28"/>
          <w:lang w:eastAsia="ru-RU"/>
        </w:rPr>
        <w:t>СОВЕТ ДЕПУТАТОВ  НОВОНИКОЛАЕВСКОГО СЕЛЬСОВЕТА</w:t>
      </w:r>
    </w:p>
    <w:p w:rsidR="003C5D4C" w:rsidRPr="003C5D4C" w:rsidRDefault="003C5D4C" w:rsidP="003C5D4C">
      <w:pPr>
        <w:spacing w:after="0" w:line="240" w:lineRule="auto"/>
        <w:jc w:val="center"/>
        <w:rPr>
          <w:rFonts w:ascii="Times New Roman" w:eastAsia="Times New Roman" w:hAnsi="Times New Roman" w:cs="Times New Roman"/>
          <w:b/>
          <w:bCs/>
          <w:sz w:val="28"/>
          <w:szCs w:val="28"/>
          <w:lang w:eastAsia="ru-RU"/>
        </w:rPr>
      </w:pPr>
      <w:r w:rsidRPr="003C5D4C">
        <w:rPr>
          <w:rFonts w:ascii="Times New Roman" w:eastAsia="Times New Roman" w:hAnsi="Times New Roman" w:cs="Times New Roman"/>
          <w:b/>
          <w:bCs/>
          <w:sz w:val="28"/>
          <w:szCs w:val="28"/>
          <w:lang w:eastAsia="ru-RU"/>
        </w:rPr>
        <w:t>БАРАБИНСКОГО РАЙОНА НОВОСИБИРСКОЙ ОБЛАСТИ</w:t>
      </w:r>
    </w:p>
    <w:p w:rsidR="003C5D4C" w:rsidRPr="003C5D4C" w:rsidRDefault="003C5D4C" w:rsidP="003C5D4C">
      <w:pPr>
        <w:spacing w:after="0" w:line="240" w:lineRule="auto"/>
        <w:jc w:val="center"/>
        <w:rPr>
          <w:rFonts w:ascii="Times New Roman" w:eastAsia="Times New Roman" w:hAnsi="Times New Roman" w:cs="Times New Roman"/>
          <w:b/>
          <w:bCs/>
          <w:sz w:val="28"/>
          <w:szCs w:val="28"/>
          <w:lang w:eastAsia="ru-RU"/>
        </w:rPr>
      </w:pPr>
      <w:r w:rsidRPr="003C5D4C">
        <w:rPr>
          <w:rFonts w:ascii="Times New Roman" w:eastAsia="Times New Roman" w:hAnsi="Times New Roman" w:cs="Times New Roman"/>
          <w:b/>
          <w:bCs/>
          <w:sz w:val="28"/>
          <w:szCs w:val="28"/>
          <w:lang w:eastAsia="ru-RU"/>
        </w:rPr>
        <w:t>РЕШЕНИЕ</w:t>
      </w:r>
    </w:p>
    <w:p w:rsidR="003C5D4C" w:rsidRPr="003C5D4C" w:rsidRDefault="003C5D4C" w:rsidP="003C5D4C">
      <w:pPr>
        <w:spacing w:after="0" w:line="240" w:lineRule="auto"/>
        <w:jc w:val="center"/>
        <w:rPr>
          <w:rFonts w:ascii="Times New Roman" w:eastAsia="Times New Roman" w:hAnsi="Times New Roman" w:cs="Times New Roman"/>
          <w:b/>
          <w:bCs/>
          <w:sz w:val="28"/>
          <w:szCs w:val="28"/>
          <w:lang w:eastAsia="ru-RU"/>
        </w:rPr>
      </w:pPr>
      <w:r w:rsidRPr="003C5D4C">
        <w:rPr>
          <w:rFonts w:ascii="Times New Roman" w:eastAsia="Times New Roman" w:hAnsi="Times New Roman" w:cs="Times New Roman"/>
          <w:b/>
          <w:bCs/>
          <w:sz w:val="28"/>
          <w:szCs w:val="28"/>
          <w:lang w:eastAsia="ru-RU"/>
        </w:rPr>
        <w:t xml:space="preserve">Тридцать восьмой   сессии </w:t>
      </w:r>
    </w:p>
    <w:p w:rsidR="003C5D4C" w:rsidRPr="003C5D4C" w:rsidRDefault="003C5D4C" w:rsidP="003C5D4C">
      <w:pPr>
        <w:spacing w:after="0" w:line="240" w:lineRule="auto"/>
        <w:jc w:val="both"/>
        <w:rPr>
          <w:rFonts w:ascii="Times New Roman" w:eastAsia="Times New Roman" w:hAnsi="Times New Roman" w:cs="Times New Roman"/>
          <w:sz w:val="28"/>
          <w:szCs w:val="28"/>
          <w:lang w:eastAsia="ru-RU"/>
        </w:rPr>
      </w:pPr>
      <w:r w:rsidRPr="003C5D4C">
        <w:rPr>
          <w:rFonts w:ascii="Times New Roman" w:eastAsia="Times New Roman" w:hAnsi="Times New Roman" w:cs="Times New Roman"/>
          <w:sz w:val="28"/>
          <w:szCs w:val="28"/>
          <w:lang w:eastAsia="ru-RU"/>
        </w:rPr>
        <w:t>от 12.11.2014г.                             38/138</w:t>
      </w:r>
    </w:p>
    <w:p w:rsidR="003C5D4C" w:rsidRPr="003C5D4C" w:rsidRDefault="003C5D4C" w:rsidP="003C5D4C">
      <w:pPr>
        <w:spacing w:after="0" w:line="240" w:lineRule="auto"/>
        <w:jc w:val="center"/>
        <w:rPr>
          <w:rFonts w:ascii="Times New Roman" w:eastAsia="Times New Roman" w:hAnsi="Times New Roman" w:cs="Times New Roman"/>
          <w:sz w:val="28"/>
          <w:szCs w:val="28"/>
          <w:lang w:eastAsia="ru-RU"/>
        </w:rPr>
      </w:pPr>
      <w:proofErr w:type="gramStart"/>
      <w:r w:rsidRPr="003C5D4C">
        <w:rPr>
          <w:rFonts w:ascii="Times New Roman" w:eastAsia="Times New Roman" w:hAnsi="Times New Roman" w:cs="Times New Roman"/>
          <w:sz w:val="28"/>
          <w:szCs w:val="28"/>
          <w:lang w:eastAsia="ru-RU"/>
        </w:rPr>
        <w:t>с</w:t>
      </w:r>
      <w:proofErr w:type="gramEnd"/>
      <w:r w:rsidRPr="003C5D4C">
        <w:rPr>
          <w:rFonts w:ascii="Times New Roman" w:eastAsia="Times New Roman" w:hAnsi="Times New Roman" w:cs="Times New Roman"/>
          <w:sz w:val="28"/>
          <w:szCs w:val="28"/>
          <w:lang w:eastAsia="ru-RU"/>
        </w:rPr>
        <w:t>. Новониколаевка</w:t>
      </w:r>
    </w:p>
    <w:p w:rsidR="003C5D4C" w:rsidRPr="003C5D4C" w:rsidRDefault="003C5D4C" w:rsidP="003C5D4C">
      <w:pPr>
        <w:spacing w:after="0" w:line="240" w:lineRule="auto"/>
        <w:jc w:val="center"/>
        <w:rPr>
          <w:rFonts w:ascii="Times New Roman" w:eastAsia="Times New Roman" w:hAnsi="Times New Roman" w:cs="Times New Roman"/>
          <w:b/>
          <w:sz w:val="28"/>
          <w:szCs w:val="28"/>
          <w:lang w:eastAsia="ru-RU"/>
        </w:rPr>
      </w:pPr>
      <w:r w:rsidRPr="003C5D4C">
        <w:rPr>
          <w:rFonts w:ascii="Times New Roman" w:eastAsia="Times New Roman" w:hAnsi="Times New Roman" w:cs="Times New Roman"/>
          <w:b/>
          <w:sz w:val="28"/>
          <w:szCs w:val="28"/>
          <w:lang w:eastAsia="ru-RU"/>
        </w:rPr>
        <w:t>Об установлении ставок по налогу на имущество физических лиц на территории Новониколаевского сельсовета Барабинского района Новосибирской области</w:t>
      </w:r>
    </w:p>
    <w:p w:rsidR="003C5D4C" w:rsidRPr="003C5D4C" w:rsidRDefault="003C5D4C" w:rsidP="003C5D4C">
      <w:pPr>
        <w:spacing w:after="0" w:line="240" w:lineRule="auto"/>
        <w:ind w:firstLine="709"/>
        <w:jc w:val="both"/>
        <w:rPr>
          <w:rFonts w:ascii="Times New Roman" w:eastAsia="Times New Roman" w:hAnsi="Times New Roman" w:cs="Times New Roman"/>
          <w:sz w:val="28"/>
          <w:szCs w:val="28"/>
          <w:lang w:eastAsia="ru-RU"/>
        </w:rPr>
      </w:pPr>
      <w:r w:rsidRPr="003C5D4C">
        <w:rPr>
          <w:rFonts w:ascii="Times New Roman" w:eastAsia="Times New Roman" w:hAnsi="Times New Roman" w:cs="Times New Roman"/>
          <w:sz w:val="28"/>
          <w:szCs w:val="28"/>
          <w:lang w:eastAsia="ru-RU"/>
        </w:rPr>
        <w:t xml:space="preserve"> </w:t>
      </w:r>
      <w:proofErr w:type="gramStart"/>
      <w:r w:rsidRPr="003C5D4C">
        <w:rPr>
          <w:rFonts w:ascii="Times New Roman" w:eastAsia="Times New Roman" w:hAnsi="Times New Roman" w:cs="Times New Roman"/>
          <w:sz w:val="28"/>
          <w:szCs w:val="28"/>
          <w:lang w:eastAsia="ru-RU"/>
        </w:rPr>
        <w:t>В соответствии  с Федеральным законом от 6 октября 2003 г. №131-ФЗ «Об общих принципах организации местного самоуправления в Российской Федерации»,  от 04 октября 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w:t>
      </w:r>
      <w:proofErr w:type="gramEnd"/>
      <w:r w:rsidRPr="003C5D4C">
        <w:rPr>
          <w:rFonts w:ascii="Times New Roman" w:eastAsia="Times New Roman" w:hAnsi="Times New Roman" w:cs="Times New Roman"/>
          <w:sz w:val="28"/>
          <w:szCs w:val="28"/>
          <w:lang w:eastAsia="ru-RU"/>
        </w:rPr>
        <w:t xml:space="preserve"> Налогового кодекса Российской Федерации и Законом Новосибирской области от 31 октября 2014 г.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Новониколаевского сельсовета Барабинского района Новосибирской области</w:t>
      </w:r>
    </w:p>
    <w:p w:rsidR="003C5D4C" w:rsidRPr="003C5D4C" w:rsidRDefault="003C5D4C" w:rsidP="003C5D4C">
      <w:pPr>
        <w:spacing w:after="0" w:line="240" w:lineRule="auto"/>
        <w:rPr>
          <w:rFonts w:ascii="Times New Roman" w:eastAsia="Times New Roman" w:hAnsi="Times New Roman" w:cs="Times New Roman"/>
          <w:b/>
          <w:sz w:val="28"/>
          <w:szCs w:val="28"/>
          <w:lang w:eastAsia="ru-RU"/>
        </w:rPr>
      </w:pPr>
      <w:r w:rsidRPr="003C5D4C">
        <w:rPr>
          <w:rFonts w:ascii="Times New Roman" w:eastAsia="Times New Roman" w:hAnsi="Times New Roman" w:cs="Times New Roman"/>
          <w:b/>
          <w:sz w:val="28"/>
          <w:szCs w:val="28"/>
          <w:lang w:eastAsia="ru-RU"/>
        </w:rPr>
        <w:t xml:space="preserve"> РЕШИЛ:</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Calibri" w:eastAsia="Calibri" w:hAnsi="Calibri" w:cs="Times New Roman"/>
          <w:sz w:val="28"/>
          <w:szCs w:val="28"/>
        </w:rPr>
        <w:t xml:space="preserve"> </w:t>
      </w:r>
      <w:r w:rsidRPr="003C5D4C">
        <w:rPr>
          <w:rFonts w:ascii="Times New Roman" w:eastAsia="Calibri" w:hAnsi="Times New Roman" w:cs="Times New Roman"/>
          <w:sz w:val="28"/>
          <w:szCs w:val="28"/>
        </w:rPr>
        <w:t>1. Установить с 1 января 2015 года на территории Новониколаевского сельсовета Барабинского района Новосибирской области  налог на имущество физических лиц.</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 xml:space="preserve"> 2. Установить, что  налоговая база по налогу в отношении объектов налогообложения определяется исходя из кадастровой стоимости.</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3. Установить следующие налоговые  вычеты при определении налоговой базы:</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3.1.  налоговая база по налогу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3.2. 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3.3.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4. Установить следующие налоговые ставки налога на имущество физических лиц, в зависимости от кадастровой стоимости объекта налогообложения:</w:t>
      </w:r>
    </w:p>
    <w:p w:rsidR="003C5D4C" w:rsidRDefault="003C5D4C" w:rsidP="003C5D4C">
      <w:pPr>
        <w:spacing w:after="0" w:line="240" w:lineRule="auto"/>
        <w:jc w:val="both"/>
        <w:rPr>
          <w:rFonts w:ascii="Times New Roman" w:eastAsia="Calibri" w:hAnsi="Times New Roman" w:cs="Times New Roman"/>
          <w:sz w:val="28"/>
          <w:szCs w:val="28"/>
        </w:rPr>
      </w:pPr>
    </w:p>
    <w:p w:rsidR="003C5D4C" w:rsidRDefault="003C5D4C" w:rsidP="003C5D4C">
      <w:pPr>
        <w:spacing w:after="0" w:line="240" w:lineRule="auto"/>
        <w:jc w:val="both"/>
        <w:rPr>
          <w:rFonts w:ascii="Times New Roman" w:eastAsia="Calibri" w:hAnsi="Times New Roman" w:cs="Times New Roman"/>
          <w:sz w:val="28"/>
          <w:szCs w:val="28"/>
        </w:rPr>
      </w:pPr>
    </w:p>
    <w:p w:rsidR="003C5D4C" w:rsidRPr="003C5D4C" w:rsidRDefault="003C5D4C" w:rsidP="003C5D4C">
      <w:pPr>
        <w:spacing w:after="0" w:line="240" w:lineRule="auto"/>
        <w:jc w:val="both"/>
        <w:rPr>
          <w:rFonts w:ascii="Times New Roman" w:eastAsia="Calibri" w:hAnsi="Times New Roman" w:cs="Times New Roman"/>
          <w:sz w:val="28"/>
          <w:szCs w:val="28"/>
        </w:rPr>
      </w:pPr>
    </w:p>
    <w:p w:rsidR="003C5D4C" w:rsidRPr="003C5D4C" w:rsidRDefault="003C5D4C" w:rsidP="003C5D4C">
      <w:pPr>
        <w:spacing w:after="0" w:line="240" w:lineRule="auto"/>
        <w:ind w:firstLine="709"/>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577"/>
        <w:gridCol w:w="2334"/>
      </w:tblGrid>
      <w:tr w:rsidR="003C5D4C" w:rsidRPr="003C5D4C" w:rsidTr="00F945C9">
        <w:tc>
          <w:tcPr>
            <w:tcW w:w="675" w:type="dxa"/>
            <w:shd w:val="clear" w:color="auto" w:fill="auto"/>
          </w:tcPr>
          <w:p w:rsidR="003C5D4C" w:rsidRPr="003C5D4C" w:rsidRDefault="003C5D4C" w:rsidP="00F945C9">
            <w:pPr>
              <w:spacing w:after="0" w:line="240" w:lineRule="auto"/>
              <w:jc w:val="center"/>
              <w:rPr>
                <w:rFonts w:ascii="Times New Roman" w:eastAsia="Calibri" w:hAnsi="Times New Roman" w:cs="Times New Roman"/>
                <w:sz w:val="28"/>
                <w:szCs w:val="28"/>
              </w:rPr>
            </w:pPr>
            <w:r w:rsidRPr="003C5D4C">
              <w:rPr>
                <w:rFonts w:ascii="Times New Roman" w:eastAsia="Calibri" w:hAnsi="Times New Roman" w:cs="Times New Roman"/>
                <w:sz w:val="28"/>
                <w:szCs w:val="28"/>
              </w:rPr>
              <w:lastRenderedPageBreak/>
              <w:t xml:space="preserve">№ </w:t>
            </w:r>
            <w:proofErr w:type="gramStart"/>
            <w:r w:rsidRPr="003C5D4C">
              <w:rPr>
                <w:rFonts w:ascii="Times New Roman" w:eastAsia="Calibri" w:hAnsi="Times New Roman" w:cs="Times New Roman"/>
                <w:sz w:val="28"/>
                <w:szCs w:val="28"/>
              </w:rPr>
              <w:t>п</w:t>
            </w:r>
            <w:proofErr w:type="gramEnd"/>
            <w:r w:rsidRPr="003C5D4C">
              <w:rPr>
                <w:rFonts w:ascii="Times New Roman" w:eastAsia="Calibri" w:hAnsi="Times New Roman" w:cs="Times New Roman"/>
                <w:sz w:val="28"/>
                <w:szCs w:val="28"/>
              </w:rPr>
              <w:t>/п</w:t>
            </w:r>
          </w:p>
        </w:tc>
        <w:tc>
          <w:tcPr>
            <w:tcW w:w="7513" w:type="dxa"/>
            <w:shd w:val="clear" w:color="auto" w:fill="auto"/>
          </w:tcPr>
          <w:p w:rsidR="003C5D4C" w:rsidRPr="003C5D4C" w:rsidRDefault="003C5D4C" w:rsidP="00F945C9">
            <w:pPr>
              <w:spacing w:after="0" w:line="240" w:lineRule="auto"/>
              <w:jc w:val="center"/>
              <w:rPr>
                <w:rFonts w:ascii="Times New Roman" w:eastAsia="Calibri" w:hAnsi="Times New Roman" w:cs="Times New Roman"/>
                <w:sz w:val="28"/>
                <w:szCs w:val="28"/>
              </w:rPr>
            </w:pPr>
            <w:r w:rsidRPr="003C5D4C">
              <w:rPr>
                <w:rFonts w:ascii="Times New Roman" w:eastAsia="Calibri" w:hAnsi="Times New Roman" w:cs="Times New Roman"/>
                <w:sz w:val="28"/>
                <w:szCs w:val="28"/>
              </w:rPr>
              <w:t>Наименование объектов налогообложения</w:t>
            </w:r>
          </w:p>
        </w:tc>
        <w:tc>
          <w:tcPr>
            <w:tcW w:w="1951" w:type="dxa"/>
            <w:shd w:val="clear" w:color="auto" w:fill="auto"/>
          </w:tcPr>
          <w:p w:rsidR="003C5D4C" w:rsidRPr="003C5D4C" w:rsidRDefault="003C5D4C" w:rsidP="00F945C9">
            <w:pPr>
              <w:spacing w:after="0" w:line="240" w:lineRule="auto"/>
              <w:jc w:val="center"/>
              <w:rPr>
                <w:rFonts w:ascii="Times New Roman" w:eastAsia="Calibri" w:hAnsi="Times New Roman" w:cs="Times New Roman"/>
                <w:sz w:val="28"/>
                <w:szCs w:val="28"/>
              </w:rPr>
            </w:pPr>
            <w:r w:rsidRPr="003C5D4C">
              <w:rPr>
                <w:rFonts w:ascii="Times New Roman" w:eastAsia="Calibri" w:hAnsi="Times New Roman" w:cs="Times New Roman"/>
                <w:sz w:val="28"/>
                <w:szCs w:val="28"/>
              </w:rPr>
              <w:t>Ставка налога</w:t>
            </w:r>
          </w:p>
          <w:p w:rsidR="003C5D4C" w:rsidRPr="003C5D4C" w:rsidRDefault="003C5D4C" w:rsidP="00F945C9">
            <w:pPr>
              <w:spacing w:after="0" w:line="240" w:lineRule="auto"/>
              <w:jc w:val="center"/>
              <w:rPr>
                <w:rFonts w:ascii="Times New Roman" w:eastAsia="Calibri" w:hAnsi="Times New Roman" w:cs="Times New Roman"/>
                <w:sz w:val="28"/>
                <w:szCs w:val="28"/>
              </w:rPr>
            </w:pPr>
            <w:proofErr w:type="gramStart"/>
            <w:r w:rsidRPr="003C5D4C">
              <w:rPr>
                <w:rFonts w:ascii="Times New Roman" w:eastAsia="Calibri" w:hAnsi="Times New Roman" w:cs="Times New Roman"/>
                <w:sz w:val="28"/>
                <w:szCs w:val="28"/>
              </w:rPr>
              <w:t>в</w:t>
            </w:r>
            <w:proofErr w:type="gramEnd"/>
            <w:r w:rsidRPr="003C5D4C">
              <w:rPr>
                <w:rFonts w:ascii="Times New Roman" w:eastAsia="Calibri" w:hAnsi="Times New Roman" w:cs="Times New Roman"/>
                <w:sz w:val="28"/>
                <w:szCs w:val="28"/>
              </w:rPr>
              <w:t xml:space="preserve"> % </w:t>
            </w:r>
            <w:proofErr w:type="gramStart"/>
            <w:r w:rsidRPr="003C5D4C">
              <w:rPr>
                <w:rFonts w:ascii="Times New Roman" w:eastAsia="Calibri" w:hAnsi="Times New Roman" w:cs="Times New Roman"/>
                <w:sz w:val="28"/>
                <w:szCs w:val="28"/>
              </w:rPr>
              <w:t>от</w:t>
            </w:r>
            <w:proofErr w:type="gramEnd"/>
            <w:r w:rsidRPr="003C5D4C">
              <w:rPr>
                <w:rFonts w:ascii="Times New Roman" w:eastAsia="Calibri" w:hAnsi="Times New Roman" w:cs="Times New Roman"/>
                <w:sz w:val="28"/>
                <w:szCs w:val="28"/>
              </w:rPr>
              <w:t xml:space="preserve"> кадастровой стоимости объекта налогообложения</w:t>
            </w:r>
          </w:p>
        </w:tc>
      </w:tr>
      <w:tr w:rsidR="003C5D4C" w:rsidRPr="003C5D4C" w:rsidTr="00F945C9">
        <w:tc>
          <w:tcPr>
            <w:tcW w:w="675" w:type="dxa"/>
            <w:shd w:val="clear" w:color="auto" w:fill="auto"/>
          </w:tcPr>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1</w:t>
            </w:r>
          </w:p>
        </w:tc>
        <w:tc>
          <w:tcPr>
            <w:tcW w:w="7513" w:type="dxa"/>
            <w:shd w:val="clear" w:color="auto" w:fill="auto"/>
          </w:tcPr>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Жилые дома, жилые помещения;</w:t>
            </w:r>
          </w:p>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объекты незавершенного строительства в случае, если проектируемым назначением таких объектов является жилой дом;</w:t>
            </w:r>
          </w:p>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единые недвижимые комплексы, в состав которых входит хотя бы одно жилое помещение (жилой дом);</w:t>
            </w:r>
          </w:p>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 xml:space="preserve">гаражи и </w:t>
            </w:r>
            <w:proofErr w:type="spellStart"/>
            <w:r w:rsidRPr="003C5D4C">
              <w:rPr>
                <w:rFonts w:ascii="Times New Roman" w:eastAsia="Calibri" w:hAnsi="Times New Roman" w:cs="Times New Roman"/>
                <w:sz w:val="28"/>
                <w:szCs w:val="28"/>
              </w:rPr>
              <w:t>машино</w:t>
            </w:r>
            <w:proofErr w:type="spellEnd"/>
            <w:r w:rsidRPr="003C5D4C">
              <w:rPr>
                <w:rFonts w:ascii="Times New Roman" w:eastAsia="Calibri" w:hAnsi="Times New Roman" w:cs="Times New Roman"/>
                <w:sz w:val="28"/>
                <w:szCs w:val="28"/>
              </w:rPr>
              <w:t>-места;</w:t>
            </w:r>
          </w:p>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1951" w:type="dxa"/>
            <w:shd w:val="clear" w:color="auto" w:fill="auto"/>
          </w:tcPr>
          <w:p w:rsidR="003C5D4C" w:rsidRPr="003C5D4C" w:rsidRDefault="003C5D4C" w:rsidP="00F945C9">
            <w:pPr>
              <w:spacing w:after="0" w:line="240" w:lineRule="auto"/>
              <w:jc w:val="center"/>
              <w:rPr>
                <w:rFonts w:ascii="Times New Roman" w:eastAsia="Calibri" w:hAnsi="Times New Roman" w:cs="Times New Roman"/>
                <w:sz w:val="28"/>
                <w:szCs w:val="28"/>
              </w:rPr>
            </w:pPr>
            <w:r w:rsidRPr="003C5D4C">
              <w:rPr>
                <w:rFonts w:ascii="Times New Roman" w:eastAsia="Calibri" w:hAnsi="Times New Roman" w:cs="Times New Roman"/>
                <w:sz w:val="28"/>
                <w:szCs w:val="28"/>
              </w:rPr>
              <w:t>0,1</w:t>
            </w:r>
          </w:p>
        </w:tc>
      </w:tr>
      <w:tr w:rsidR="003C5D4C" w:rsidRPr="003C5D4C" w:rsidTr="00F945C9">
        <w:tc>
          <w:tcPr>
            <w:tcW w:w="675" w:type="dxa"/>
            <w:shd w:val="clear" w:color="auto" w:fill="auto"/>
          </w:tcPr>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2</w:t>
            </w:r>
          </w:p>
        </w:tc>
        <w:tc>
          <w:tcPr>
            <w:tcW w:w="7513" w:type="dxa"/>
            <w:shd w:val="clear" w:color="auto" w:fill="auto"/>
          </w:tcPr>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Административно-деловые центры и торговые центры (комплексы) и помещения в них;</w:t>
            </w:r>
          </w:p>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Нежилые помещения, назначения которых в соответствии с кадастровыми паспортами объектов недвижимости 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которые фактически используются для размещения офисов, торговых объектов, объектов общественного питания и бытового обслуживания. (Выявленные в течение налогового периода объекты недвижимого имущества, указанные выше, не включенные в перечень по состоянию на 1 января года налогового периода подлежат включению в перечень, определяемый уполномоченным органом исполнительной власти Новосибирской области на очередной налоговый период);</w:t>
            </w:r>
          </w:p>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 xml:space="preserve">объекты налогообложения, кадастровая стоимость каждого из которых превышает 300 миллионов рублей. </w:t>
            </w:r>
          </w:p>
        </w:tc>
        <w:tc>
          <w:tcPr>
            <w:tcW w:w="1951" w:type="dxa"/>
            <w:shd w:val="clear" w:color="auto" w:fill="auto"/>
          </w:tcPr>
          <w:p w:rsidR="003C5D4C" w:rsidRPr="003C5D4C" w:rsidRDefault="003C5D4C" w:rsidP="00F945C9">
            <w:pPr>
              <w:spacing w:after="0" w:line="240" w:lineRule="auto"/>
              <w:jc w:val="center"/>
              <w:rPr>
                <w:rFonts w:ascii="Times New Roman" w:eastAsia="Calibri" w:hAnsi="Times New Roman" w:cs="Times New Roman"/>
                <w:sz w:val="28"/>
                <w:szCs w:val="28"/>
              </w:rPr>
            </w:pPr>
            <w:r w:rsidRPr="003C5D4C">
              <w:rPr>
                <w:rFonts w:ascii="Times New Roman" w:eastAsia="Calibri" w:hAnsi="Times New Roman" w:cs="Times New Roman"/>
                <w:sz w:val="28"/>
                <w:szCs w:val="28"/>
              </w:rPr>
              <w:t>2</w:t>
            </w:r>
          </w:p>
        </w:tc>
      </w:tr>
      <w:tr w:rsidR="003C5D4C" w:rsidRPr="003C5D4C" w:rsidTr="00F945C9">
        <w:tc>
          <w:tcPr>
            <w:tcW w:w="675" w:type="dxa"/>
            <w:shd w:val="clear" w:color="auto" w:fill="auto"/>
          </w:tcPr>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3</w:t>
            </w:r>
          </w:p>
        </w:tc>
        <w:tc>
          <w:tcPr>
            <w:tcW w:w="7513" w:type="dxa"/>
            <w:shd w:val="clear" w:color="auto" w:fill="auto"/>
          </w:tcPr>
          <w:p w:rsidR="003C5D4C" w:rsidRPr="003C5D4C" w:rsidRDefault="003C5D4C" w:rsidP="00F945C9">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Прочие объекты налогообложения</w:t>
            </w:r>
          </w:p>
        </w:tc>
        <w:tc>
          <w:tcPr>
            <w:tcW w:w="1951" w:type="dxa"/>
            <w:shd w:val="clear" w:color="auto" w:fill="auto"/>
          </w:tcPr>
          <w:p w:rsidR="003C5D4C" w:rsidRPr="003C5D4C" w:rsidRDefault="003C5D4C" w:rsidP="00F945C9">
            <w:pPr>
              <w:spacing w:after="0" w:line="240" w:lineRule="auto"/>
              <w:jc w:val="center"/>
              <w:rPr>
                <w:rFonts w:ascii="Times New Roman" w:eastAsia="Calibri" w:hAnsi="Times New Roman" w:cs="Times New Roman"/>
                <w:sz w:val="28"/>
                <w:szCs w:val="28"/>
              </w:rPr>
            </w:pPr>
            <w:r w:rsidRPr="003C5D4C">
              <w:rPr>
                <w:rFonts w:ascii="Times New Roman" w:eastAsia="Calibri" w:hAnsi="Times New Roman" w:cs="Times New Roman"/>
                <w:sz w:val="28"/>
                <w:szCs w:val="28"/>
              </w:rPr>
              <w:t>0,5</w:t>
            </w:r>
          </w:p>
        </w:tc>
      </w:tr>
    </w:tbl>
    <w:p w:rsidR="003C5D4C" w:rsidRPr="003C5D4C" w:rsidRDefault="003C5D4C" w:rsidP="003C5D4C">
      <w:pPr>
        <w:spacing w:after="0" w:line="240" w:lineRule="auto"/>
        <w:jc w:val="both"/>
        <w:rPr>
          <w:rFonts w:ascii="Times New Roman" w:eastAsia="Calibri" w:hAnsi="Times New Roman" w:cs="Times New Roman"/>
          <w:sz w:val="28"/>
          <w:szCs w:val="28"/>
        </w:rPr>
      </w:pP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lastRenderedPageBreak/>
        <w:t>5. Налоговые льготы  по налогу на имущество физических лиц установлены, в соответствии со статьей 407 НК РФ, дополнительные льготы не устанавливаются.</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6.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 xml:space="preserve">7. При определении подлежащей уплате налогоплательщиком суммы налога налоговая льгота предоставляется </w:t>
      </w:r>
      <w:proofErr w:type="gramStart"/>
      <w:r w:rsidRPr="003C5D4C">
        <w:rPr>
          <w:rFonts w:ascii="Times New Roman" w:eastAsia="Calibri" w:hAnsi="Times New Roman" w:cs="Times New Roman"/>
          <w:sz w:val="28"/>
          <w:szCs w:val="28"/>
        </w:rPr>
        <w:t>в отношении одного объекта налогообложения каждого вида по выбору налогоплательщика вне зависимости  от количества оснований для применения</w:t>
      </w:r>
      <w:proofErr w:type="gramEnd"/>
      <w:r w:rsidRPr="003C5D4C">
        <w:rPr>
          <w:rFonts w:ascii="Times New Roman" w:eastAsia="Calibri" w:hAnsi="Times New Roman" w:cs="Times New Roman"/>
          <w:sz w:val="28"/>
          <w:szCs w:val="28"/>
        </w:rPr>
        <w:t xml:space="preserve"> налоговых льгот.</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8. Налоговая льгота не предоставляется в отношении объектов налогообложения, указанных в подпункте 2 пункта 2 статьи 406 Налогового кодекса Российской Федерации.</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 xml:space="preserve">9. Признать утратившим силу: Решение 6-ой сессии Совета депутатов от 10.11.2010 года  № 6/35 «Об установлении ставок налога на имущество физических лиц с 2011 года».    </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10. Настоящее решение вступает в силу с 1 января 2015 года, но не ранее чем по истечении одного месяца со дня его официального опубликования.</w:t>
      </w:r>
    </w:p>
    <w:p w:rsidR="003C5D4C" w:rsidRPr="003C5D4C" w:rsidRDefault="003C5D4C" w:rsidP="003C5D4C">
      <w:pPr>
        <w:spacing w:after="0" w:line="240" w:lineRule="auto"/>
        <w:jc w:val="both"/>
        <w:rPr>
          <w:rFonts w:ascii="Times New Roman" w:eastAsia="Calibri" w:hAnsi="Times New Roman" w:cs="Times New Roman"/>
          <w:sz w:val="28"/>
          <w:szCs w:val="28"/>
        </w:rPr>
      </w:pPr>
      <w:r w:rsidRPr="003C5D4C">
        <w:rPr>
          <w:rFonts w:ascii="Times New Roman" w:eastAsia="Calibri" w:hAnsi="Times New Roman" w:cs="Times New Roman"/>
          <w:sz w:val="28"/>
          <w:szCs w:val="28"/>
        </w:rPr>
        <w:t>11. Настоящее решение подлежит официальному опубликованию в средствах массовой информации.</w:t>
      </w:r>
    </w:p>
    <w:p w:rsidR="003C5D4C" w:rsidRDefault="003C5D4C" w:rsidP="003C5D4C">
      <w:pPr>
        <w:spacing w:after="0" w:line="240" w:lineRule="auto"/>
        <w:jc w:val="both"/>
        <w:rPr>
          <w:rFonts w:ascii="Times New Roman" w:eastAsia="Times New Roman" w:hAnsi="Times New Roman" w:cs="Times New Roman"/>
          <w:sz w:val="28"/>
          <w:szCs w:val="28"/>
          <w:lang w:eastAsia="ru-RU"/>
        </w:rPr>
      </w:pPr>
      <w:r w:rsidRPr="003C5D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3C5D4C" w:rsidRPr="003C5D4C" w:rsidRDefault="003C5D4C" w:rsidP="003C5D4C">
      <w:pPr>
        <w:spacing w:after="0" w:line="240" w:lineRule="auto"/>
        <w:jc w:val="both"/>
        <w:rPr>
          <w:rFonts w:ascii="Times New Roman" w:eastAsia="Times New Roman" w:hAnsi="Times New Roman" w:cs="Times New Roman"/>
          <w:sz w:val="28"/>
          <w:szCs w:val="28"/>
          <w:lang w:eastAsia="ru-RU"/>
        </w:rPr>
      </w:pPr>
      <w:r w:rsidRPr="003C5D4C">
        <w:rPr>
          <w:rFonts w:ascii="Times New Roman" w:eastAsia="Times New Roman" w:hAnsi="Times New Roman" w:cs="Times New Roman"/>
          <w:sz w:val="28"/>
          <w:szCs w:val="28"/>
          <w:lang w:eastAsia="ru-RU"/>
        </w:rPr>
        <w:t>Председатель Совета депутатов</w:t>
      </w:r>
    </w:p>
    <w:p w:rsidR="003C5D4C" w:rsidRPr="003C5D4C" w:rsidRDefault="003C5D4C" w:rsidP="003C5D4C">
      <w:pPr>
        <w:spacing w:after="0" w:line="240" w:lineRule="auto"/>
        <w:rPr>
          <w:rFonts w:ascii="Times New Roman" w:eastAsia="Times New Roman" w:hAnsi="Times New Roman" w:cs="Times New Roman"/>
          <w:sz w:val="28"/>
          <w:szCs w:val="28"/>
          <w:lang w:eastAsia="ru-RU"/>
        </w:rPr>
      </w:pPr>
      <w:r w:rsidRPr="003C5D4C">
        <w:rPr>
          <w:rFonts w:ascii="Times New Roman" w:eastAsia="Times New Roman" w:hAnsi="Times New Roman" w:cs="Times New Roman"/>
          <w:sz w:val="28"/>
          <w:szCs w:val="28"/>
          <w:lang w:eastAsia="ru-RU"/>
        </w:rPr>
        <w:t>Новониколаевского сельсовета</w:t>
      </w:r>
    </w:p>
    <w:p w:rsidR="003C5D4C" w:rsidRPr="003C5D4C" w:rsidRDefault="003C5D4C" w:rsidP="003C5D4C">
      <w:pPr>
        <w:spacing w:after="0" w:line="240" w:lineRule="auto"/>
        <w:rPr>
          <w:rFonts w:ascii="Times New Roman" w:eastAsia="Times New Roman" w:hAnsi="Times New Roman" w:cs="Times New Roman"/>
          <w:sz w:val="28"/>
          <w:szCs w:val="28"/>
          <w:lang w:eastAsia="ru-RU"/>
        </w:rPr>
      </w:pPr>
      <w:r w:rsidRPr="003C5D4C">
        <w:rPr>
          <w:rFonts w:ascii="Times New Roman" w:eastAsia="Times New Roman" w:hAnsi="Times New Roman" w:cs="Times New Roman"/>
          <w:sz w:val="28"/>
          <w:szCs w:val="28"/>
          <w:lang w:eastAsia="ru-RU"/>
        </w:rPr>
        <w:t xml:space="preserve">Барабинского района </w:t>
      </w:r>
    </w:p>
    <w:p w:rsidR="003C5D4C" w:rsidRPr="003C5D4C" w:rsidRDefault="003C5D4C" w:rsidP="003C5D4C">
      <w:pPr>
        <w:spacing w:after="0" w:line="240" w:lineRule="auto"/>
        <w:jc w:val="center"/>
        <w:rPr>
          <w:rFonts w:ascii="Times New Roman" w:eastAsia="Times New Roman" w:hAnsi="Times New Roman" w:cs="Times New Roman"/>
          <w:sz w:val="28"/>
          <w:szCs w:val="28"/>
          <w:lang w:eastAsia="ru-RU"/>
        </w:rPr>
      </w:pPr>
      <w:r w:rsidRPr="003C5D4C">
        <w:rPr>
          <w:rFonts w:ascii="Times New Roman" w:eastAsia="Times New Roman" w:hAnsi="Times New Roman" w:cs="Times New Roman"/>
          <w:sz w:val="28"/>
          <w:szCs w:val="28"/>
          <w:lang w:eastAsia="ru-RU"/>
        </w:rPr>
        <w:t>Новосибирской области                                                             Т.М. Алексеева</w:t>
      </w:r>
    </w:p>
    <w:p w:rsidR="00AE5E87" w:rsidRPr="003C5D4C" w:rsidRDefault="00AE5E87">
      <w:pPr>
        <w:rPr>
          <w:sz w:val="28"/>
          <w:szCs w:val="28"/>
        </w:rPr>
      </w:pPr>
      <w:bookmarkStart w:id="0" w:name="_GoBack"/>
      <w:bookmarkEnd w:id="0"/>
    </w:p>
    <w:sectPr w:rsidR="00AE5E87" w:rsidRPr="003C5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4C"/>
    <w:rsid w:val="003C5D4C"/>
    <w:rsid w:val="00AE5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4294965859</TotalTime>
  <Pages>3</Pages>
  <Words>790</Words>
  <Characters>4509</Characters>
  <Application>Microsoft Office Word</Application>
  <DocSecurity>0</DocSecurity>
  <Lines>37</Lines>
  <Paragraphs>10</Paragraphs>
  <ScaleCrop>false</ScaleCrop>
  <Company>SPecialiST RePack</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2014-11-13T05:00:00Z</dcterms:created>
  <dcterms:modified xsi:type="dcterms:W3CDTF">2014-11-12T05:03:00Z</dcterms:modified>
</cp:coreProperties>
</file>