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981C2A" w:rsidRPr="00E96206" w:rsidRDefault="00E96206" w:rsidP="0070285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96206">
        <w:rPr>
          <w:sz w:val="26"/>
          <w:szCs w:val="26"/>
        </w:rPr>
        <w:t>Действия собственников</w:t>
      </w:r>
      <w:r w:rsidR="00981C2A" w:rsidRPr="00E96206">
        <w:rPr>
          <w:sz w:val="26"/>
          <w:szCs w:val="26"/>
        </w:rPr>
        <w:t xml:space="preserve"> в связи с прекращением существования объекта недвижимости</w:t>
      </w:r>
    </w:p>
    <w:p w:rsidR="00981C2A" w:rsidRPr="00E96206" w:rsidRDefault="00981C2A" w:rsidP="00981C2A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bookmarkStart w:id="0" w:name="Par2"/>
      <w:bookmarkEnd w:id="0"/>
      <w:r w:rsidRPr="00E96206">
        <w:rPr>
          <w:sz w:val="26"/>
          <w:szCs w:val="26"/>
        </w:rPr>
        <w:t>Объекты недвижимости, как и иные вещи, со временем становятся непригодными для использования, разрушаются, устаревают морально. В этой связи собственник такого объекта может принять решение о его сносе.</w:t>
      </w:r>
    </w:p>
    <w:p w:rsidR="00981C2A" w:rsidRPr="00E96206" w:rsidRDefault="00981C2A" w:rsidP="00981C2A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96206">
        <w:rPr>
          <w:sz w:val="26"/>
          <w:szCs w:val="26"/>
        </w:rPr>
        <w:t>При этом нужно учитывать, что если сведения об объекте недвижимости внесены в Единый государственный реестр недвижимости (ЕГРН), собственнику здания, сооружения, объекта незавершенного строительства необходимо обратиться в регистрирующий орган с соответствующим заявлением и актом обследования.</w:t>
      </w:r>
    </w:p>
    <w:p w:rsidR="00981C2A" w:rsidRPr="00E96206" w:rsidRDefault="00981C2A" w:rsidP="00981C2A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96206">
        <w:rPr>
          <w:sz w:val="26"/>
          <w:szCs w:val="26"/>
        </w:rPr>
        <w:t>Если объект недвижимости стоит на кадастровом учете, но права на него не зарегистрированы в ЕГРН, то подается заявление о снятии объекта с государственного кадастрового учета. Если же в ЕГРН зарегистрированы права на объект недвижимости, следует подать заявление о снятии объекта с учета и регистрации прекращения прав.</w:t>
      </w:r>
    </w:p>
    <w:p w:rsidR="00981C2A" w:rsidRPr="00E96206" w:rsidRDefault="00981C2A" w:rsidP="00981C2A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96206">
        <w:rPr>
          <w:sz w:val="26"/>
          <w:szCs w:val="26"/>
        </w:rPr>
        <w:t>Акт обследования представляет собой документ, в котором кадастровый инженер в результате осмотра места нахождения объекта недвижимости подтверждает прекращение его существования в связи с гибелью или уничтожением либо прекращение существования помещения, машино-места в связи с гибелью или уничтожением здания или сооружения (их части), в которых они были расположены. Акт обследования подготавливается в форме электронного документа и заверяется усиленной квалифицированной электронной подписью подготовившего его кадастрового инженера.</w:t>
      </w:r>
    </w:p>
    <w:p w:rsidR="00981C2A" w:rsidRPr="00E96206" w:rsidRDefault="00981C2A" w:rsidP="00981C2A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96206">
        <w:rPr>
          <w:sz w:val="26"/>
          <w:szCs w:val="26"/>
        </w:rPr>
        <w:t>В Акт обследования вносятся сведения об использованных при его подготовке документах, которыми могут выступать:</w:t>
      </w:r>
    </w:p>
    <w:p w:rsidR="00981C2A" w:rsidRPr="00E96206" w:rsidRDefault="00981C2A" w:rsidP="00981C2A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96206">
        <w:rPr>
          <w:sz w:val="26"/>
          <w:szCs w:val="26"/>
        </w:rPr>
        <w:t>- решение органа исполнительной власти субъекта Российской Федерации или муниципального образования о признании объекта недвижимости ветхим или аварийным; документ, подтверждающего изъятие для государственных или муниципальных нужд земельного участка с находящимися на данном земельном участке объектами недвижимости, подлежащими сносу; документ, подтверждающий развитие застроенной территории, на которой расположен объект недвижимости, подлежащий сносу; иные документы, на основании которых принято решение об осуществлении сноса (демонтажа) в случае принудительного изъятия объекта недвижимости у собственника;</w:t>
      </w:r>
    </w:p>
    <w:p w:rsidR="00981C2A" w:rsidRPr="00E96206" w:rsidRDefault="00981C2A" w:rsidP="00981C2A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96206">
        <w:rPr>
          <w:sz w:val="26"/>
          <w:szCs w:val="26"/>
        </w:rPr>
        <w:t>- проектная документация объекта капитального строительства (за исключением проектной документации линейных объектов) в случае сноса или демонтажа объекта капитального строительства, его частей для строительства, реконструкции других объектов капитального строительства;</w:t>
      </w:r>
    </w:p>
    <w:p w:rsidR="00981C2A" w:rsidRPr="00E96206" w:rsidRDefault="00981C2A" w:rsidP="00981C2A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96206">
        <w:rPr>
          <w:sz w:val="26"/>
          <w:szCs w:val="26"/>
        </w:rPr>
        <w:t>- решение собственника объекта недвижимости о его сносе в случае добровольного сноса объекта;</w:t>
      </w:r>
    </w:p>
    <w:p w:rsidR="00981C2A" w:rsidRPr="00E96206" w:rsidRDefault="00981C2A" w:rsidP="00981C2A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96206">
        <w:rPr>
          <w:sz w:val="26"/>
          <w:szCs w:val="26"/>
        </w:rPr>
        <w:t>- документ органа исполнительной власти субъекта Российской Федерации или муниципального образования, подтверждающий факт стихийных бедствий или других чрезвычайных ситуаций в случае прекращения существования объекта недвижимости по причинам, не зависящим от воли собственника такого объекта недвижимости.</w:t>
      </w:r>
    </w:p>
    <w:p w:rsidR="0070285B" w:rsidRPr="00E96206" w:rsidRDefault="00981C2A" w:rsidP="0070285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96206">
        <w:rPr>
          <w:sz w:val="26"/>
          <w:szCs w:val="26"/>
        </w:rPr>
        <w:t xml:space="preserve">Собственникам объектов недвижимости, принявшим решение об их сносе, следует учитывать, что с </w:t>
      </w:r>
      <w:r w:rsidR="0070285B" w:rsidRPr="00E96206">
        <w:rPr>
          <w:sz w:val="26"/>
          <w:szCs w:val="26"/>
        </w:rPr>
        <w:t>4</w:t>
      </w:r>
      <w:r w:rsidRPr="00E96206">
        <w:rPr>
          <w:sz w:val="26"/>
          <w:szCs w:val="26"/>
        </w:rPr>
        <w:t xml:space="preserve"> августа 2018 вступили в силу изменения в </w:t>
      </w:r>
      <w:r w:rsidRPr="00E96206">
        <w:rPr>
          <w:sz w:val="26"/>
          <w:szCs w:val="26"/>
        </w:rPr>
        <w:lastRenderedPageBreak/>
        <w:t>Градостроительный кодекс Российской Федерации, регламентирующие порядок сноса объектов капитального строительства (ОКС).</w:t>
      </w:r>
    </w:p>
    <w:p w:rsidR="0070285B" w:rsidRPr="00E96206" w:rsidRDefault="00981C2A" w:rsidP="0070285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96206">
        <w:rPr>
          <w:sz w:val="26"/>
          <w:szCs w:val="26"/>
        </w:rPr>
        <w:t xml:space="preserve">Если  </w:t>
      </w:r>
      <w:r w:rsidRPr="00E96206">
        <w:rPr>
          <w:rFonts w:eastAsia="Calibri"/>
          <w:bCs/>
          <w:sz w:val="26"/>
          <w:szCs w:val="26"/>
          <w:lang w:eastAsia="en-US"/>
        </w:rPr>
        <w:t xml:space="preserve">работы по сносу ОКС начаты после указанной даты, то до момента подготовки кадастровым инженером Акта необходимо обратиться в организацию архитектурно-строительного проектирования за получением проекта организации работ по сносу ОКС, а также  в </w:t>
      </w:r>
      <w:r w:rsidRPr="00E96206">
        <w:rPr>
          <w:rFonts w:eastAsia="Calibri"/>
          <w:sz w:val="26"/>
          <w:szCs w:val="26"/>
          <w:lang w:eastAsia="en-US"/>
        </w:rPr>
        <w:t>организации, осуществляющие эксплуатацию сетей инженерно-технического обеспечения, для получения условий</w:t>
      </w:r>
      <w:r w:rsidR="0070285B" w:rsidRPr="00E96206">
        <w:rPr>
          <w:rFonts w:eastAsia="Calibri"/>
          <w:sz w:val="26"/>
          <w:szCs w:val="26"/>
          <w:lang w:eastAsia="en-US"/>
        </w:rPr>
        <w:t xml:space="preserve"> отключения ОКС от таких сетей.</w:t>
      </w:r>
    </w:p>
    <w:p w:rsidR="0070285B" w:rsidRPr="00E96206" w:rsidRDefault="00981C2A" w:rsidP="0070285B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96206">
        <w:rPr>
          <w:rFonts w:eastAsia="Calibri"/>
          <w:sz w:val="26"/>
          <w:szCs w:val="26"/>
          <w:lang w:eastAsia="en-US"/>
        </w:rPr>
        <w:t>Не позднее чем за семь рабочих дней до начала выполнения работ по сносу  застройщику или техническому заказчику необходимо обратиться в орган местного самоуправления с уведомлением о планируемом сносе ОКС, приложив к нему результаты и материалы обследования ОКС; проект организации работ по сносу ОКС.</w:t>
      </w:r>
    </w:p>
    <w:p w:rsidR="0070285B" w:rsidRPr="00E96206" w:rsidRDefault="00981C2A" w:rsidP="0070285B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96206">
        <w:rPr>
          <w:rFonts w:eastAsia="Calibri"/>
          <w:sz w:val="26"/>
          <w:szCs w:val="26"/>
          <w:lang w:eastAsia="en-US"/>
        </w:rPr>
        <w:t>Приложение  указанных документ</w:t>
      </w:r>
      <w:r w:rsidR="0070285B" w:rsidRPr="00E96206">
        <w:rPr>
          <w:rFonts w:eastAsia="Calibri"/>
          <w:sz w:val="26"/>
          <w:szCs w:val="26"/>
          <w:lang w:eastAsia="en-US"/>
        </w:rPr>
        <w:t>ов не требуется в случае сноса:</w:t>
      </w:r>
    </w:p>
    <w:p w:rsidR="0070285B" w:rsidRPr="00E96206" w:rsidRDefault="00981C2A" w:rsidP="0070285B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96206">
        <w:rPr>
          <w:rFonts w:eastAsia="Calibri"/>
          <w:sz w:val="26"/>
          <w:szCs w:val="26"/>
          <w:lang w:eastAsia="en-US"/>
        </w:rPr>
        <w:t>-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строительства, реконструкции на садовом земельном участке жилого дома, садового дома, хозяйственных построек, определенных в соответствии с законодательством в сфере с</w:t>
      </w:r>
      <w:r w:rsidR="0070285B" w:rsidRPr="00E96206">
        <w:rPr>
          <w:rFonts w:eastAsia="Calibri"/>
          <w:sz w:val="26"/>
          <w:szCs w:val="26"/>
          <w:lang w:eastAsia="en-US"/>
        </w:rPr>
        <w:t>адоводства и огородничества;</w:t>
      </w:r>
    </w:p>
    <w:p w:rsidR="0070285B" w:rsidRPr="00E96206" w:rsidRDefault="00981C2A" w:rsidP="0070285B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96206">
        <w:rPr>
          <w:rFonts w:eastAsia="Calibri"/>
          <w:sz w:val="26"/>
          <w:szCs w:val="26"/>
          <w:lang w:eastAsia="en-US"/>
        </w:rPr>
        <w:t>- объектов индивидуального жилищного строительства;</w:t>
      </w:r>
    </w:p>
    <w:p w:rsidR="0070285B" w:rsidRPr="00E96206" w:rsidRDefault="00981C2A" w:rsidP="0070285B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96206">
        <w:rPr>
          <w:rFonts w:eastAsia="Calibri"/>
          <w:sz w:val="26"/>
          <w:szCs w:val="26"/>
          <w:lang w:eastAsia="en-US"/>
        </w:rPr>
        <w:t>- объектов, не являющихся объектами капитального строительства;</w:t>
      </w:r>
    </w:p>
    <w:p w:rsidR="0070285B" w:rsidRPr="00E96206" w:rsidRDefault="00981C2A" w:rsidP="0070285B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96206">
        <w:rPr>
          <w:rFonts w:eastAsia="Calibri"/>
          <w:sz w:val="26"/>
          <w:szCs w:val="26"/>
          <w:lang w:eastAsia="en-US"/>
        </w:rPr>
        <w:t>- строений и сооружений вспомогательного использования.</w:t>
      </w:r>
    </w:p>
    <w:p w:rsidR="0070285B" w:rsidRPr="00E96206" w:rsidRDefault="00981C2A" w:rsidP="0070285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96206">
        <w:rPr>
          <w:rFonts w:eastAsia="Calibri"/>
          <w:sz w:val="26"/>
          <w:szCs w:val="26"/>
          <w:lang w:eastAsia="en-US"/>
        </w:rPr>
        <w:t>Не позднее семи рабочих дней после завершения сноса объекта застройщик или технический заказчик также должен подать в орган местного самоуправления  уведомление о завершении сноса ОКС.</w:t>
      </w:r>
    </w:p>
    <w:p w:rsidR="0070285B" w:rsidRPr="00E96206" w:rsidRDefault="00981C2A" w:rsidP="0070285B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96206">
        <w:rPr>
          <w:sz w:val="26"/>
          <w:szCs w:val="26"/>
        </w:rPr>
        <w:t>Учетно-регистрационные действия в связи с прекращением существования объекта осуществляются бесплатно.</w:t>
      </w:r>
    </w:p>
    <w:p w:rsidR="0070285B" w:rsidRPr="00E96206" w:rsidRDefault="00981C2A" w:rsidP="0070285B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96206">
        <w:rPr>
          <w:sz w:val="26"/>
          <w:szCs w:val="26"/>
        </w:rPr>
        <w:t>Срок снятия объекта с кадастрового учета составляет 5 рабочих дней при подаче заявления в регистрирующий орган и 7 рабочих дней при обращении через многофункциональный центр. В случае подачи заявления об одновременном осуществлении учета и регистрации прекращения прав - 10 и 12 рабочих дней соответственно.</w:t>
      </w:r>
    </w:p>
    <w:p w:rsidR="00E96206" w:rsidRDefault="00E96206" w:rsidP="00E96206">
      <w:pPr>
        <w:shd w:val="clear" w:color="auto" w:fill="FFFFFF"/>
        <w:spacing w:line="270" w:lineRule="atLeast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Межмуниципальный Куйбышевский отдел</w:t>
      </w:r>
    </w:p>
    <w:p w:rsidR="00E96206" w:rsidRDefault="00E96206" w:rsidP="00E96206">
      <w:pPr>
        <w:shd w:val="clear" w:color="auto" w:fill="FFFFFF"/>
        <w:spacing w:line="270" w:lineRule="atLeast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Управления Росреестра по Новосибирской области</w:t>
      </w:r>
    </w:p>
    <w:p w:rsidR="00E96206" w:rsidRDefault="00E96206" w:rsidP="00E96206">
      <w:pPr>
        <w:suppressAutoHyphens/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3.3pt;margin-top:7.1pt;width:490.5pt;height:0;z-index:1" o:connectortype="straight" strokecolor="#0070c0"/>
        </w:pict>
      </w:r>
    </w:p>
    <w:p w:rsidR="0070285B" w:rsidRPr="0070285B" w:rsidRDefault="0070285B" w:rsidP="0070285B">
      <w:pPr>
        <w:shd w:val="clear" w:color="auto" w:fill="FFFFFF"/>
        <w:tabs>
          <w:tab w:val="left" w:pos="709"/>
        </w:tabs>
        <w:ind w:firstLine="709"/>
        <w:jc w:val="right"/>
        <w:rPr>
          <w:rFonts w:ascii="Segoe UI" w:hAnsi="Segoe UI" w:cs="Segoe UI"/>
        </w:rPr>
      </w:pPr>
    </w:p>
    <w:sectPr w:rsidR="0070285B" w:rsidRPr="0070285B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7B2" w:rsidRDefault="00AD77B2">
      <w:r>
        <w:separator/>
      </w:r>
    </w:p>
  </w:endnote>
  <w:endnote w:type="continuationSeparator" w:id="0">
    <w:p w:rsidR="00AD77B2" w:rsidRDefault="00AD7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7B2" w:rsidRDefault="00AD77B2">
      <w:r>
        <w:separator/>
      </w:r>
    </w:p>
  </w:footnote>
  <w:footnote w:type="continuationSeparator" w:id="0">
    <w:p w:rsidR="00AD77B2" w:rsidRDefault="00AD77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96206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3in;height:3in" o:bullet="t"/>
    </w:pict>
  </w:numPicBullet>
  <w:numPicBullet w:numPicBulletId="1">
    <w:pict>
      <v:shape id="_x0000_i1050" type="#_x0000_t75" style="width:3in;height:3in" o:bullet="t"/>
    </w:pict>
  </w:numPicBullet>
  <w:numPicBullet w:numPicBulletId="2">
    <w:pict>
      <v:shape id="_x0000_i1051" type="#_x0000_t75" style="width:3in;height:3in" o:bullet="t"/>
    </w:pict>
  </w:numPicBullet>
  <w:numPicBullet w:numPicBulletId="3">
    <w:pict>
      <v:shape id="_x0000_i1052" type="#_x0000_t75" style="width:3in;height:3in" o:bullet="t"/>
    </w:pict>
  </w:numPicBullet>
  <w:numPicBullet w:numPicBulletId="4">
    <w:pict>
      <v:shape id="_x0000_i1053" type="#_x0000_t75" style="width:3in;height:3in" o:bullet="t"/>
    </w:pict>
  </w:numPicBullet>
  <w:numPicBullet w:numPicBulletId="5">
    <w:pict>
      <v:shape id="_x0000_i1054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D31DD"/>
    <w:rsid w:val="001D78B2"/>
    <w:rsid w:val="001E5540"/>
    <w:rsid w:val="001F2191"/>
    <w:rsid w:val="002015CE"/>
    <w:rsid w:val="00201EA2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A1835"/>
    <w:rsid w:val="004A551F"/>
    <w:rsid w:val="004B34EB"/>
    <w:rsid w:val="004C7131"/>
    <w:rsid w:val="004E42A0"/>
    <w:rsid w:val="004E7AF6"/>
    <w:rsid w:val="004F0710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2B97"/>
    <w:rsid w:val="006E189C"/>
    <w:rsid w:val="006E1C87"/>
    <w:rsid w:val="006E37FE"/>
    <w:rsid w:val="0070285B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1C2A"/>
    <w:rsid w:val="009876E6"/>
    <w:rsid w:val="009942BE"/>
    <w:rsid w:val="00995EAC"/>
    <w:rsid w:val="00997F58"/>
    <w:rsid w:val="009A240C"/>
    <w:rsid w:val="009A6810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962A0"/>
    <w:rsid w:val="00AB60DD"/>
    <w:rsid w:val="00AC141B"/>
    <w:rsid w:val="00AD77B2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A1435"/>
    <w:rsid w:val="00CA387F"/>
    <w:rsid w:val="00CC41F5"/>
    <w:rsid w:val="00CE0CBD"/>
    <w:rsid w:val="00CE5E77"/>
    <w:rsid w:val="00CE68CC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8411A"/>
    <w:rsid w:val="00E877D9"/>
    <w:rsid w:val="00E908AF"/>
    <w:rsid w:val="00E94212"/>
    <w:rsid w:val="00E96206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1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5026</CharactersWithSpaces>
  <SharedDoc>false</SharedDoc>
  <HLinks>
    <vt:vector size="24" baseType="variant">
      <vt:variant>
        <vt:i4>1376363</vt:i4>
      </vt:variant>
      <vt:variant>
        <vt:i4>9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6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3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0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2019-07-30T05:47:00Z</dcterms:created>
  <dcterms:modified xsi:type="dcterms:W3CDTF">2019-07-30T05:47:00Z</dcterms:modified>
</cp:coreProperties>
</file>